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9"/>
        <w:tblW w:w="938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78"/>
        <w:gridCol w:w="3611"/>
      </w:tblGrid>
      <w:tr w:rsidR="003F14CC" w:rsidRPr="00C83F19" w14:paraId="42FF63B0" w14:textId="77777777" w:rsidTr="008C1A56">
        <w:trPr>
          <w:cantSplit/>
          <w:trHeight w:val="382"/>
        </w:trPr>
        <w:tc>
          <w:tcPr>
            <w:tcW w:w="5778" w:type="dxa"/>
          </w:tcPr>
          <w:p w14:paraId="24CE57F4" w14:textId="77777777" w:rsidR="003F14CC" w:rsidRPr="00C83F19" w:rsidRDefault="003F14CC" w:rsidP="008C1A56">
            <w:pPr>
              <w:spacing w:before="120"/>
              <w:ind w:right="26"/>
              <w:jc w:val="both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3611" w:type="dxa"/>
          </w:tcPr>
          <w:p w14:paraId="745A3064" w14:textId="072432FC" w:rsidR="003F14CC" w:rsidRPr="00C83F19" w:rsidRDefault="003F14CC" w:rsidP="008C1A56">
            <w:pPr>
              <w:spacing w:after="1100"/>
              <w:ind w:right="26"/>
              <w:jc w:val="both"/>
              <w:rPr>
                <w:rFonts w:cs="Arial"/>
              </w:rPr>
            </w:pPr>
          </w:p>
        </w:tc>
      </w:tr>
    </w:tbl>
    <w:p w14:paraId="50873C6D" w14:textId="048BADBF" w:rsidR="003F14CC" w:rsidRPr="009B5918" w:rsidRDefault="00F1171F" w:rsidP="009B5918">
      <w:pPr>
        <w:pStyle w:val="H3"/>
        <w:keepNext w:val="0"/>
        <w:tabs>
          <w:tab w:val="left" w:pos="1170"/>
        </w:tabs>
        <w:ind w:left="1134" w:hanging="1134"/>
        <w:outlineLvl w:val="9"/>
        <w:rPr>
          <w:rFonts w:ascii="Arial" w:hAnsi="Arial" w:cs="Arial"/>
          <w:sz w:val="36"/>
          <w:szCs w:val="36"/>
        </w:rPr>
      </w:pPr>
      <w:r w:rsidRPr="009B5918">
        <w:rPr>
          <w:rFonts w:ascii="Arial" w:hAnsi="Arial" w:cs="Arial"/>
          <w:sz w:val="36"/>
          <w:szCs w:val="36"/>
        </w:rPr>
        <w:t>Senate</w:t>
      </w:r>
    </w:p>
    <w:p w14:paraId="0D8D2906" w14:textId="186196DD" w:rsidR="00D80A03" w:rsidRDefault="00D80A03" w:rsidP="00D80A03">
      <w:pPr>
        <w:pStyle w:val="H3"/>
        <w:keepNext w:val="0"/>
        <w:tabs>
          <w:tab w:val="left" w:pos="1170"/>
        </w:tabs>
        <w:ind w:left="1134" w:hanging="1134"/>
        <w:outlineLvl w:val="9"/>
        <w:rPr>
          <w:rFonts w:ascii="Arial" w:hAnsi="Arial" w:cs="Arial"/>
          <w:sz w:val="24"/>
          <w:szCs w:val="24"/>
        </w:rPr>
      </w:pPr>
    </w:p>
    <w:p w14:paraId="6F260C38" w14:textId="13F459A4" w:rsidR="003F14CC" w:rsidRPr="00C83F19" w:rsidRDefault="003F14CC" w:rsidP="00D80A03">
      <w:pPr>
        <w:pStyle w:val="H3"/>
        <w:keepNext w:val="0"/>
        <w:tabs>
          <w:tab w:val="left" w:pos="1170"/>
        </w:tabs>
        <w:ind w:left="1134" w:hanging="1134"/>
        <w:outlineLvl w:val="9"/>
        <w:rPr>
          <w:rFonts w:ascii="Arial" w:hAnsi="Arial" w:cs="Arial"/>
          <w:sz w:val="24"/>
          <w:szCs w:val="24"/>
        </w:rPr>
      </w:pPr>
      <w:r w:rsidRPr="00C83F19">
        <w:rPr>
          <w:rFonts w:ascii="Arial" w:hAnsi="Arial" w:cs="Arial"/>
          <w:sz w:val="24"/>
          <w:szCs w:val="24"/>
        </w:rPr>
        <w:t>Subject:</w:t>
      </w:r>
      <w:r w:rsidRPr="00C83F19">
        <w:rPr>
          <w:rFonts w:ascii="Arial" w:hAnsi="Arial" w:cs="Arial"/>
          <w:sz w:val="24"/>
          <w:szCs w:val="24"/>
        </w:rPr>
        <w:tab/>
      </w:r>
      <w:r w:rsidR="00BE37B3">
        <w:rPr>
          <w:rFonts w:ascii="Arial" w:hAnsi="Arial" w:cs="Arial"/>
          <w:sz w:val="24"/>
          <w:szCs w:val="24"/>
        </w:rPr>
        <w:t>Student recruitment 2012</w:t>
      </w:r>
      <w:r w:rsidR="00B85FFF">
        <w:rPr>
          <w:rFonts w:ascii="Arial" w:hAnsi="Arial" w:cs="Arial"/>
          <w:sz w:val="24"/>
          <w:szCs w:val="24"/>
        </w:rPr>
        <w:t xml:space="preserve"> entry</w:t>
      </w:r>
    </w:p>
    <w:p w14:paraId="21AFAC64" w14:textId="525AA726" w:rsidR="003F14CC" w:rsidRPr="00BE37B3" w:rsidRDefault="003F14CC" w:rsidP="00D80A03">
      <w:pPr>
        <w:tabs>
          <w:tab w:val="left" w:pos="1170"/>
        </w:tabs>
        <w:outlineLvl w:val="0"/>
        <w:rPr>
          <w:rFonts w:cs="Arial"/>
          <w:b/>
          <w:bCs/>
        </w:rPr>
      </w:pPr>
      <w:r w:rsidRPr="00BE37B3">
        <w:rPr>
          <w:rFonts w:cs="Arial"/>
          <w:b/>
          <w:bCs/>
        </w:rPr>
        <w:t xml:space="preserve">Origin: </w:t>
      </w:r>
      <w:r w:rsidRPr="00BE37B3">
        <w:rPr>
          <w:rFonts w:cs="Arial"/>
          <w:b/>
          <w:bCs/>
        </w:rPr>
        <w:tab/>
      </w:r>
      <w:r w:rsidR="00B85FFF">
        <w:rPr>
          <w:rFonts w:cs="Arial"/>
          <w:b/>
          <w:bCs/>
        </w:rPr>
        <w:t>Morag Bell (</w:t>
      </w:r>
      <w:r w:rsidR="00BE37B3">
        <w:rPr>
          <w:rFonts w:cs="Arial"/>
          <w:b/>
          <w:bCs/>
        </w:rPr>
        <w:t>PVCT</w:t>
      </w:r>
      <w:r w:rsidR="00B85FFF">
        <w:rPr>
          <w:rFonts w:cs="Arial"/>
          <w:b/>
          <w:bCs/>
        </w:rPr>
        <w:t>), Chris Carpenter (Admissions Officer)</w:t>
      </w:r>
    </w:p>
    <w:p w14:paraId="6B754F78" w14:textId="77777777" w:rsidR="003F14CC" w:rsidRPr="00C83F19" w:rsidRDefault="003F14CC" w:rsidP="003F14CC">
      <w:pPr>
        <w:tabs>
          <w:tab w:val="left" w:pos="1170"/>
          <w:tab w:val="left" w:pos="8910"/>
        </w:tabs>
        <w:rPr>
          <w:rFonts w:cs="Arial"/>
          <w:b/>
          <w:u w:val="single"/>
        </w:rPr>
      </w:pPr>
      <w:r w:rsidRPr="00C83F19">
        <w:rPr>
          <w:rFonts w:cs="Arial"/>
          <w:b/>
          <w:u w:val="single"/>
        </w:rPr>
        <w:tab/>
      </w:r>
      <w:r w:rsidRPr="00C83F19">
        <w:rPr>
          <w:rFonts w:cs="Arial"/>
          <w:b/>
          <w:u w:val="single"/>
        </w:rPr>
        <w:tab/>
      </w:r>
    </w:p>
    <w:p w14:paraId="0E7691F4" w14:textId="77777777" w:rsidR="003F14CC" w:rsidRPr="00C83F19" w:rsidRDefault="003F14CC" w:rsidP="003F14CC">
      <w:pPr>
        <w:tabs>
          <w:tab w:val="left" w:pos="1170"/>
        </w:tabs>
        <w:outlineLvl w:val="0"/>
        <w:rPr>
          <w:rFonts w:cs="Arial"/>
          <w:b/>
        </w:rPr>
      </w:pPr>
      <w:r w:rsidRPr="00C83F19">
        <w:rPr>
          <w:rFonts w:cs="Arial"/>
          <w:b/>
        </w:rPr>
        <w:t>Executive Summary:</w:t>
      </w:r>
    </w:p>
    <w:p w14:paraId="7BAE062C" w14:textId="05154EC7" w:rsidR="00BE37B3" w:rsidRPr="00BE37B3" w:rsidRDefault="00BE37B3" w:rsidP="003F14CC">
      <w:pPr>
        <w:tabs>
          <w:tab w:val="left" w:pos="1170"/>
        </w:tabs>
        <w:outlineLvl w:val="0"/>
        <w:rPr>
          <w:rFonts w:cs="Arial"/>
          <w:sz w:val="22"/>
          <w:szCs w:val="22"/>
        </w:rPr>
      </w:pPr>
      <w:r w:rsidRPr="00BE37B3">
        <w:rPr>
          <w:rFonts w:cs="Arial"/>
          <w:sz w:val="22"/>
          <w:szCs w:val="22"/>
        </w:rPr>
        <w:t xml:space="preserve">Set out below is </w:t>
      </w:r>
      <w:r>
        <w:rPr>
          <w:rFonts w:cs="Arial"/>
          <w:sz w:val="22"/>
          <w:szCs w:val="22"/>
        </w:rPr>
        <w:t xml:space="preserve">a short summary of </w:t>
      </w:r>
      <w:r w:rsidRPr="00BE37B3">
        <w:rPr>
          <w:rFonts w:cs="Arial"/>
          <w:sz w:val="22"/>
          <w:szCs w:val="22"/>
        </w:rPr>
        <w:t xml:space="preserve">the latest position regarding </w:t>
      </w:r>
      <w:r>
        <w:rPr>
          <w:rFonts w:cs="Arial"/>
          <w:sz w:val="22"/>
          <w:szCs w:val="22"/>
        </w:rPr>
        <w:t>undergraduate and PGT recruitment to the University for 2012 entry.  As regards UK/EU undergradu</w:t>
      </w:r>
      <w:r w:rsidR="00D313D5">
        <w:rPr>
          <w:rFonts w:cs="Arial"/>
          <w:sz w:val="22"/>
          <w:szCs w:val="22"/>
        </w:rPr>
        <w:t>ates</w:t>
      </w:r>
      <w:r w:rsidR="006D037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6D0372">
        <w:rPr>
          <w:rFonts w:cs="Arial"/>
          <w:sz w:val="22"/>
          <w:szCs w:val="22"/>
        </w:rPr>
        <w:t xml:space="preserve">detailed work </w:t>
      </w:r>
      <w:r w:rsidR="00F1171F">
        <w:rPr>
          <w:rFonts w:cs="Arial"/>
          <w:sz w:val="22"/>
          <w:szCs w:val="22"/>
        </w:rPr>
        <w:t>has been carried out</w:t>
      </w:r>
      <w:r w:rsidR="006D0372">
        <w:rPr>
          <w:rFonts w:cs="Arial"/>
          <w:sz w:val="22"/>
          <w:szCs w:val="22"/>
        </w:rPr>
        <w:t xml:space="preserve"> to deter</w:t>
      </w:r>
      <w:r w:rsidR="00D313D5">
        <w:rPr>
          <w:rFonts w:cs="Arial"/>
          <w:sz w:val="22"/>
          <w:szCs w:val="22"/>
        </w:rPr>
        <w:t xml:space="preserve">mine possible intakes </w:t>
      </w:r>
      <w:r w:rsidR="006D0372">
        <w:rPr>
          <w:rFonts w:cs="Arial"/>
          <w:sz w:val="22"/>
          <w:szCs w:val="22"/>
        </w:rPr>
        <w:t>and to draw up a set of principles to be adopted during confirmation in mid-August.</w:t>
      </w:r>
    </w:p>
    <w:p w14:paraId="5E64E6E1" w14:textId="5E2FBB2C" w:rsidR="003F14CC" w:rsidRPr="00C83F19" w:rsidRDefault="003F14CC" w:rsidP="003F14CC">
      <w:pPr>
        <w:tabs>
          <w:tab w:val="left" w:pos="1170"/>
        </w:tabs>
        <w:outlineLvl w:val="0"/>
        <w:rPr>
          <w:rFonts w:cs="Arial"/>
        </w:rPr>
      </w:pPr>
      <w:r w:rsidRPr="00C83F19">
        <w:rPr>
          <w:rFonts w:cs="Arial"/>
        </w:rPr>
        <w:br/>
      </w:r>
      <w:r w:rsidRPr="00C83F19">
        <w:rPr>
          <w:rFonts w:cs="Arial"/>
          <w:b/>
        </w:rPr>
        <w:t xml:space="preserve">Action Required: </w:t>
      </w:r>
    </w:p>
    <w:p w14:paraId="7AC56CC4" w14:textId="5A290A5F" w:rsidR="00D80A03" w:rsidRPr="00BE37B3" w:rsidRDefault="00F1171F" w:rsidP="003F14CC">
      <w:pPr>
        <w:ind w:right="-5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Senate</w:t>
      </w:r>
      <w:r w:rsidR="00BE37B3" w:rsidRPr="00BE37B3">
        <w:rPr>
          <w:rFonts w:cs="Arial"/>
          <w:sz w:val="22"/>
          <w:szCs w:val="22"/>
        </w:rPr>
        <w:t xml:space="preserve"> is asked to note the paper.</w:t>
      </w:r>
    </w:p>
    <w:p w14:paraId="1DC79255" w14:textId="77777777" w:rsidR="003F14CC" w:rsidRPr="00C83F19" w:rsidRDefault="003F14CC" w:rsidP="003F14CC">
      <w:pPr>
        <w:tabs>
          <w:tab w:val="left" w:pos="1170"/>
          <w:tab w:val="left" w:pos="8910"/>
        </w:tabs>
        <w:rPr>
          <w:rFonts w:cs="Arial"/>
          <w:b/>
          <w:u w:val="single"/>
        </w:rPr>
      </w:pPr>
      <w:r w:rsidRPr="00C83F19">
        <w:rPr>
          <w:rFonts w:cs="Arial"/>
          <w:b/>
          <w:u w:val="single"/>
        </w:rPr>
        <w:tab/>
      </w:r>
      <w:r w:rsidRPr="00C83F19">
        <w:rPr>
          <w:rFonts w:cs="Arial"/>
          <w:b/>
          <w:u w:val="single"/>
        </w:rPr>
        <w:tab/>
      </w:r>
    </w:p>
    <w:p w14:paraId="0C457B68" w14:textId="77777777" w:rsidR="003F14CC" w:rsidRPr="00C83F19" w:rsidRDefault="003F14CC" w:rsidP="003F14CC">
      <w:pPr>
        <w:autoSpaceDE w:val="0"/>
        <w:autoSpaceDN w:val="0"/>
        <w:adjustRightInd w:val="0"/>
        <w:rPr>
          <w:rFonts w:cs="Arial"/>
          <w:b/>
        </w:rPr>
      </w:pPr>
    </w:p>
    <w:p w14:paraId="78D6A916" w14:textId="48275623" w:rsidR="00A33168" w:rsidRPr="00157F26" w:rsidRDefault="00157F26" w:rsidP="00157F26">
      <w:pPr>
        <w:ind w:right="-64"/>
        <w:rPr>
          <w:rFonts w:cs="Arial"/>
        </w:rPr>
      </w:pPr>
      <w:r w:rsidRPr="00D17B94">
        <w:rPr>
          <w:rFonts w:cs="Arial"/>
          <w:sz w:val="22"/>
          <w:szCs w:val="22"/>
        </w:rPr>
        <w:t>Over the last few months a regular report on the admissions statistics has been provided to ALT and key colleagues within the academic Schools.</w:t>
      </w:r>
      <w:r>
        <w:rPr>
          <w:rFonts w:cs="Arial"/>
        </w:rPr>
        <w:t xml:space="preserve"> </w:t>
      </w:r>
      <w:r w:rsidR="00A33168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latest position is summarised below.</w:t>
      </w:r>
    </w:p>
    <w:p w14:paraId="5E219851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14:paraId="49DD47D9" w14:textId="37C0A6B5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UK/EU</w:t>
      </w:r>
      <w:r w:rsidR="00323C84">
        <w:rPr>
          <w:rFonts w:cs="Arial"/>
          <w:b/>
          <w:bCs/>
          <w:sz w:val="22"/>
          <w:szCs w:val="22"/>
        </w:rPr>
        <w:t xml:space="preserve"> undergraduate</w:t>
      </w:r>
      <w:r w:rsidR="00D313D5">
        <w:rPr>
          <w:rFonts w:cs="Arial"/>
          <w:b/>
          <w:bCs/>
          <w:sz w:val="22"/>
          <w:szCs w:val="22"/>
        </w:rPr>
        <w:t>s</w:t>
      </w:r>
    </w:p>
    <w:p w14:paraId="491A234D" w14:textId="3A3AE272" w:rsidR="00A33168" w:rsidRDefault="00157F26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Conditional firm acceptances</w:t>
      </w:r>
      <w:r w:rsidR="00A33168">
        <w:rPr>
          <w:rFonts w:cs="Arial"/>
          <w:sz w:val="22"/>
          <w:szCs w:val="22"/>
        </w:rPr>
        <w:t xml:space="preserve"> (CFs) are at a similar level to 2011 entry and the conversion rate from condition</w:t>
      </w:r>
      <w:r w:rsidR="00D17B94">
        <w:rPr>
          <w:rFonts w:cs="Arial"/>
          <w:sz w:val="22"/>
          <w:szCs w:val="22"/>
        </w:rPr>
        <w:t>al offer to conditional firm (C:</w:t>
      </w:r>
      <w:r w:rsidR="00A33168">
        <w:rPr>
          <w:rFonts w:cs="Arial"/>
          <w:sz w:val="22"/>
          <w:szCs w:val="22"/>
        </w:rPr>
        <w:t xml:space="preserve">CF) has held </w:t>
      </w:r>
      <w:r>
        <w:rPr>
          <w:rFonts w:cs="Arial"/>
          <w:sz w:val="22"/>
          <w:szCs w:val="22"/>
        </w:rPr>
        <w:t xml:space="preserve">up </w:t>
      </w:r>
      <w:r w:rsidR="00A33168">
        <w:rPr>
          <w:rFonts w:cs="Arial"/>
          <w:sz w:val="22"/>
          <w:szCs w:val="22"/>
        </w:rPr>
        <w:t>at 29%. Conditional insurances (CIs) are now showing an 11% increase on last year, whereas unconditional firms (UFs) remain at around half of the 2011 level.</w:t>
      </w:r>
    </w:p>
    <w:p w14:paraId="0AC92827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14:paraId="62161836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AAB+ / SNC</w:t>
      </w:r>
    </w:p>
    <w:p w14:paraId="00F2DC7C" w14:textId="7BCB5811" w:rsidR="00157F26" w:rsidRDefault="00157F26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analysis </w:t>
      </w:r>
      <w:r w:rsidR="00F1171F">
        <w:rPr>
          <w:rFonts w:cs="Arial"/>
          <w:sz w:val="22"/>
          <w:szCs w:val="22"/>
        </w:rPr>
        <w:t xml:space="preserve">has been carried out </w:t>
      </w:r>
      <w:r>
        <w:rPr>
          <w:rFonts w:cs="Arial"/>
          <w:sz w:val="22"/>
          <w:szCs w:val="22"/>
        </w:rPr>
        <w:t xml:space="preserve">to estimate possible </w:t>
      </w:r>
      <w:r w:rsidR="00A33168">
        <w:rPr>
          <w:rFonts w:cs="Arial"/>
          <w:sz w:val="22"/>
          <w:szCs w:val="22"/>
        </w:rPr>
        <w:t xml:space="preserve">AAB+/SNC </w:t>
      </w:r>
      <w:r>
        <w:rPr>
          <w:rFonts w:cs="Arial"/>
          <w:sz w:val="22"/>
          <w:szCs w:val="22"/>
        </w:rPr>
        <w:t>outcomes at S</w:t>
      </w:r>
      <w:r w:rsidR="005C3831">
        <w:rPr>
          <w:rFonts w:cs="Arial"/>
          <w:sz w:val="22"/>
          <w:szCs w:val="22"/>
        </w:rPr>
        <w:t>chool/Department level</w:t>
      </w:r>
      <w:r>
        <w:rPr>
          <w:rFonts w:cs="Arial"/>
          <w:sz w:val="22"/>
          <w:szCs w:val="22"/>
        </w:rPr>
        <w:t xml:space="preserve"> on the basis of predicted grades and </w:t>
      </w:r>
      <w:r w:rsidR="00D17B94">
        <w:rPr>
          <w:rFonts w:cs="Arial"/>
          <w:sz w:val="22"/>
          <w:szCs w:val="22"/>
        </w:rPr>
        <w:t xml:space="preserve">specific assumptions.  </w:t>
      </w:r>
      <w:r>
        <w:rPr>
          <w:rFonts w:cs="Arial"/>
          <w:sz w:val="22"/>
          <w:szCs w:val="22"/>
        </w:rPr>
        <w:t>These scenar</w:t>
      </w:r>
      <w:r w:rsidR="00F1171F">
        <w:rPr>
          <w:rFonts w:cs="Arial"/>
          <w:sz w:val="22"/>
          <w:szCs w:val="22"/>
        </w:rPr>
        <w:t>ios have been</w:t>
      </w:r>
      <w:r w:rsidR="00D17B94">
        <w:rPr>
          <w:rFonts w:cs="Arial"/>
          <w:sz w:val="22"/>
          <w:szCs w:val="22"/>
        </w:rPr>
        <w:t xml:space="preserve"> used to </w:t>
      </w:r>
      <w:r>
        <w:rPr>
          <w:rFonts w:cs="Arial"/>
          <w:sz w:val="22"/>
          <w:szCs w:val="22"/>
        </w:rPr>
        <w:t>est</w:t>
      </w:r>
      <w:r w:rsidR="00D17B94">
        <w:rPr>
          <w:rFonts w:cs="Arial"/>
          <w:sz w:val="22"/>
          <w:szCs w:val="22"/>
        </w:rPr>
        <w:t>ablish</w:t>
      </w:r>
      <w:r>
        <w:rPr>
          <w:rFonts w:cs="Arial"/>
          <w:sz w:val="22"/>
          <w:szCs w:val="22"/>
        </w:rPr>
        <w:t xml:space="preserve"> a set of principles</w:t>
      </w:r>
      <w:r w:rsidR="00F1171F">
        <w:rPr>
          <w:rFonts w:cs="Arial"/>
          <w:sz w:val="22"/>
          <w:szCs w:val="22"/>
        </w:rPr>
        <w:t xml:space="preserve">, which have been </w:t>
      </w:r>
      <w:r>
        <w:rPr>
          <w:rFonts w:cs="Arial"/>
          <w:sz w:val="22"/>
          <w:szCs w:val="22"/>
        </w:rPr>
        <w:t xml:space="preserve">discussed </w:t>
      </w:r>
      <w:r w:rsidR="008370E4">
        <w:rPr>
          <w:rFonts w:cs="Arial"/>
          <w:sz w:val="22"/>
          <w:szCs w:val="22"/>
        </w:rPr>
        <w:t>with the</w:t>
      </w:r>
      <w:r w:rsidR="00F1171F">
        <w:rPr>
          <w:rFonts w:cs="Arial"/>
          <w:sz w:val="22"/>
          <w:szCs w:val="22"/>
        </w:rPr>
        <w:t xml:space="preserve"> Academic Leadership Team and Admissions Tutors, and will be </w:t>
      </w:r>
      <w:r>
        <w:rPr>
          <w:rFonts w:cs="Arial"/>
          <w:sz w:val="22"/>
          <w:szCs w:val="22"/>
        </w:rPr>
        <w:t xml:space="preserve">implemented at the time of confirmation in August.  </w:t>
      </w:r>
      <w:r w:rsidR="0009443D">
        <w:rPr>
          <w:rFonts w:cs="Arial"/>
          <w:sz w:val="22"/>
          <w:szCs w:val="22"/>
        </w:rPr>
        <w:t xml:space="preserve">We remain committed to meeting both AAB+ and SNC targets </w:t>
      </w:r>
      <w:r w:rsidR="00F82373">
        <w:rPr>
          <w:rFonts w:cs="Arial"/>
          <w:sz w:val="22"/>
          <w:szCs w:val="22"/>
        </w:rPr>
        <w:t>at institutional level.  However, t</w:t>
      </w:r>
      <w:r w:rsidR="00786F2A">
        <w:rPr>
          <w:rFonts w:cs="Arial"/>
          <w:sz w:val="22"/>
          <w:szCs w:val="22"/>
        </w:rPr>
        <w:t>here</w:t>
      </w:r>
      <w:r w:rsidR="00F82373">
        <w:rPr>
          <w:rFonts w:cs="Arial"/>
          <w:sz w:val="22"/>
          <w:szCs w:val="22"/>
        </w:rPr>
        <w:t xml:space="preserve"> are </w:t>
      </w:r>
      <w:r w:rsidR="00786F2A">
        <w:rPr>
          <w:rFonts w:cs="Arial"/>
          <w:sz w:val="22"/>
          <w:szCs w:val="22"/>
        </w:rPr>
        <w:t>significant uncertainties</w:t>
      </w:r>
      <w:r w:rsidR="00F82373">
        <w:rPr>
          <w:rFonts w:cs="Arial"/>
          <w:sz w:val="22"/>
          <w:szCs w:val="22"/>
        </w:rPr>
        <w:t xml:space="preserve"> and </w:t>
      </w:r>
      <w:r w:rsidR="005C3831">
        <w:rPr>
          <w:rFonts w:cs="Arial"/>
          <w:sz w:val="22"/>
          <w:szCs w:val="22"/>
        </w:rPr>
        <w:t xml:space="preserve">we may fall short of the AAB+ target.  At School level a </w:t>
      </w:r>
      <w:r w:rsidR="0009443D">
        <w:rPr>
          <w:rFonts w:cs="Arial"/>
          <w:sz w:val="22"/>
          <w:szCs w:val="22"/>
        </w:rPr>
        <w:t xml:space="preserve">re-balancing of numbers </w:t>
      </w:r>
      <w:r w:rsidR="00D313D5">
        <w:rPr>
          <w:rFonts w:cs="Arial"/>
          <w:sz w:val="22"/>
          <w:szCs w:val="22"/>
        </w:rPr>
        <w:t>between the two targets is</w:t>
      </w:r>
      <w:r w:rsidR="005C3831">
        <w:rPr>
          <w:rFonts w:cs="Arial"/>
          <w:sz w:val="22"/>
          <w:szCs w:val="22"/>
        </w:rPr>
        <w:t xml:space="preserve"> likely to be necessary</w:t>
      </w:r>
      <w:r w:rsidR="0009443D">
        <w:rPr>
          <w:rFonts w:cs="Arial"/>
          <w:sz w:val="22"/>
          <w:szCs w:val="22"/>
        </w:rPr>
        <w:t>.</w:t>
      </w:r>
    </w:p>
    <w:p w14:paraId="4D8D05C1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14:paraId="3622A231" w14:textId="74C847E4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International</w:t>
      </w:r>
      <w:r w:rsidR="00184F04">
        <w:rPr>
          <w:rFonts w:cs="Arial"/>
          <w:b/>
          <w:bCs/>
          <w:sz w:val="22"/>
          <w:szCs w:val="22"/>
        </w:rPr>
        <w:t xml:space="preserve"> undergrad</w:t>
      </w:r>
      <w:r w:rsidR="00C87ABF">
        <w:rPr>
          <w:rFonts w:cs="Arial"/>
          <w:b/>
          <w:bCs/>
          <w:sz w:val="22"/>
          <w:szCs w:val="22"/>
        </w:rPr>
        <w:t>uate</w:t>
      </w:r>
      <w:r w:rsidR="00D313D5">
        <w:rPr>
          <w:rFonts w:cs="Arial"/>
          <w:b/>
          <w:bCs/>
          <w:sz w:val="22"/>
          <w:szCs w:val="22"/>
        </w:rPr>
        <w:t>s</w:t>
      </w:r>
    </w:p>
    <w:p w14:paraId="69B50CE9" w14:textId="3729FEC2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relation to the international position, the number of offers made is at the same level as last year. CFs and CIs are both down on last year (12% and 18% respectively), although the C:CF conversio</w:t>
      </w:r>
      <w:r w:rsidR="00323C84">
        <w:rPr>
          <w:rFonts w:cs="Arial"/>
          <w:sz w:val="22"/>
          <w:szCs w:val="22"/>
        </w:rPr>
        <w:t>n rate has held at 17%.  T</w:t>
      </w:r>
      <w:r>
        <w:rPr>
          <w:rFonts w:cs="Arial"/>
          <w:sz w:val="22"/>
          <w:szCs w:val="22"/>
        </w:rPr>
        <w:t xml:space="preserve">he proportion of replies made is lower than </w:t>
      </w:r>
      <w:r w:rsidR="00323C84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 xml:space="preserve">this point last year, which </w:t>
      </w:r>
      <w:r w:rsidR="00323C84">
        <w:rPr>
          <w:rFonts w:cs="Arial"/>
          <w:sz w:val="22"/>
          <w:szCs w:val="22"/>
        </w:rPr>
        <w:t xml:space="preserve">will account for the </w:t>
      </w:r>
      <w:r>
        <w:rPr>
          <w:rFonts w:cs="Arial"/>
          <w:sz w:val="22"/>
          <w:szCs w:val="22"/>
        </w:rPr>
        <w:t>decline in CFs in spite of the conversion rate being maintained.</w:t>
      </w:r>
      <w:r w:rsidR="006D0372">
        <w:rPr>
          <w:rFonts w:cs="Arial"/>
          <w:sz w:val="22"/>
          <w:szCs w:val="22"/>
        </w:rPr>
        <w:t xml:space="preserve">  It is anticipated that the University w</w:t>
      </w:r>
      <w:r w:rsidR="005C17B0">
        <w:rPr>
          <w:rFonts w:cs="Arial"/>
          <w:sz w:val="22"/>
          <w:szCs w:val="22"/>
        </w:rPr>
        <w:t xml:space="preserve">ill </w:t>
      </w:r>
      <w:r w:rsidR="0017246F">
        <w:rPr>
          <w:rFonts w:cs="Arial"/>
          <w:sz w:val="22"/>
          <w:szCs w:val="22"/>
        </w:rPr>
        <w:t xml:space="preserve">be close to, but slightly below, </w:t>
      </w:r>
      <w:r w:rsidR="006D0372">
        <w:rPr>
          <w:rFonts w:cs="Arial"/>
          <w:sz w:val="22"/>
          <w:szCs w:val="22"/>
        </w:rPr>
        <w:t>the agreed intake target.</w:t>
      </w:r>
    </w:p>
    <w:p w14:paraId="61BD420D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14:paraId="5B47C895" w14:textId="77777777" w:rsidR="00A33168" w:rsidRDefault="00A3316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49BCCC8" w14:textId="78AB361C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National comparison (all applicants)</w:t>
      </w:r>
    </w:p>
    <w:p w14:paraId="580BE940" w14:textId="73CDE18F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 and compet</w:t>
      </w:r>
      <w:r w:rsidR="00323C84">
        <w:rPr>
          <w:rFonts w:cs="Arial"/>
          <w:sz w:val="22"/>
          <w:szCs w:val="22"/>
        </w:rPr>
        <w:t>itor data is given in the table</w:t>
      </w:r>
      <w:r>
        <w:rPr>
          <w:rFonts w:cs="Arial"/>
          <w:sz w:val="22"/>
          <w:szCs w:val="22"/>
        </w:rPr>
        <w:t xml:space="preserve"> below:</w:t>
      </w:r>
    </w:p>
    <w:p w14:paraId="5C0018DC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134"/>
        <w:gridCol w:w="1134"/>
        <w:gridCol w:w="1276"/>
        <w:gridCol w:w="851"/>
      </w:tblGrid>
      <w:tr w:rsidR="00A33168" w14:paraId="6B13035F" w14:textId="77777777" w:rsidTr="00A33168">
        <w:tc>
          <w:tcPr>
            <w:tcW w:w="1668" w:type="dxa"/>
            <w:vMerge w:val="restart"/>
            <w:tcBorders>
              <w:top w:val="single" w:sz="8" w:space="0" w:color="3A7ACB"/>
              <w:left w:val="single" w:sz="8" w:space="0" w:color="3A7ACB"/>
              <w:bottom w:val="single" w:sz="8" w:space="0" w:color="3A7ACB"/>
              <w:right w:val="single" w:sz="24" w:space="0" w:color="3A7ACB"/>
            </w:tcBorders>
            <w:shd w:val="clear" w:color="auto" w:fill="D3E0ED"/>
            <w:vAlign w:val="bottom"/>
            <w:hideMark/>
          </w:tcPr>
          <w:p w14:paraId="0AC69D3F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3A7ACB"/>
              <w:left w:val="nil"/>
              <w:bottom w:val="nil"/>
              <w:right w:val="single" w:sz="24" w:space="0" w:color="3A7ACB"/>
            </w:tcBorders>
            <w:shd w:val="clear" w:color="auto" w:fill="D3E0ED"/>
            <w:vAlign w:val="bottom"/>
            <w:hideMark/>
          </w:tcPr>
          <w:p w14:paraId="008B2DE4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 change 2011 to 2012</w:t>
            </w:r>
          </w:p>
        </w:tc>
        <w:tc>
          <w:tcPr>
            <w:tcW w:w="2268" w:type="dxa"/>
            <w:gridSpan w:val="2"/>
            <w:tcBorders>
              <w:top w:val="single" w:sz="8" w:space="0" w:color="3A7ACB"/>
              <w:left w:val="nil"/>
              <w:bottom w:val="nil"/>
              <w:right w:val="single" w:sz="24" w:space="0" w:color="3A7ACB"/>
            </w:tcBorders>
            <w:shd w:val="clear" w:color="auto" w:fill="D3E0ED"/>
            <w:vAlign w:val="bottom"/>
            <w:hideMark/>
          </w:tcPr>
          <w:p w14:paraId="766C398C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Conversion rate (C:CF)</w:t>
            </w:r>
          </w:p>
        </w:tc>
        <w:tc>
          <w:tcPr>
            <w:tcW w:w="2127" w:type="dxa"/>
            <w:gridSpan w:val="2"/>
            <w:tcBorders>
              <w:top w:val="single" w:sz="8" w:space="0" w:color="3A7ACB"/>
              <w:left w:val="nil"/>
              <w:bottom w:val="nil"/>
              <w:right w:val="single" w:sz="8" w:space="0" w:color="3A7ACB"/>
            </w:tcBorders>
            <w:shd w:val="clear" w:color="auto" w:fill="D3E0ED"/>
            <w:vAlign w:val="bottom"/>
            <w:hideMark/>
          </w:tcPr>
          <w:p w14:paraId="30E8B921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 replies made</w:t>
            </w:r>
          </w:p>
        </w:tc>
      </w:tr>
      <w:tr w:rsidR="00A33168" w14:paraId="7FBE8EBF" w14:textId="77777777" w:rsidTr="00A33168">
        <w:tc>
          <w:tcPr>
            <w:tcW w:w="1668" w:type="dxa"/>
            <w:vMerge/>
            <w:tcBorders>
              <w:top w:val="single" w:sz="8" w:space="0" w:color="3A7ACB"/>
              <w:left w:val="single" w:sz="8" w:space="0" w:color="3A7ACB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5375524A" w14:textId="77777777" w:rsidR="00A33168" w:rsidRDefault="00A33168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shd w:val="clear" w:color="auto" w:fill="D3E0ED"/>
            <w:vAlign w:val="bottom"/>
            <w:hideMark/>
          </w:tcPr>
          <w:p w14:paraId="56E2C79C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shd w:val="clear" w:color="auto" w:fill="D3E0ED"/>
            <w:vAlign w:val="bottom"/>
            <w:hideMark/>
          </w:tcPr>
          <w:p w14:paraId="551086A2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shd w:val="clear" w:color="auto" w:fill="D3E0ED"/>
            <w:vAlign w:val="bottom"/>
            <w:hideMark/>
          </w:tcPr>
          <w:p w14:paraId="7609E252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shd w:val="clear" w:color="auto" w:fill="D3E0ED"/>
            <w:vAlign w:val="bottom"/>
            <w:hideMark/>
          </w:tcPr>
          <w:p w14:paraId="743C4C16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shd w:val="clear" w:color="auto" w:fill="D3E0ED"/>
            <w:vAlign w:val="bottom"/>
            <w:hideMark/>
          </w:tcPr>
          <w:p w14:paraId="483FE233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shd w:val="clear" w:color="auto" w:fill="D3E0ED"/>
            <w:vAlign w:val="bottom"/>
            <w:hideMark/>
          </w:tcPr>
          <w:p w14:paraId="55D5A242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</w:tr>
      <w:tr w:rsidR="00A33168" w14:paraId="22D5B97C" w14:textId="77777777" w:rsidTr="00A33168">
        <w:tc>
          <w:tcPr>
            <w:tcW w:w="1668" w:type="dxa"/>
            <w:tcBorders>
              <w:top w:val="nil"/>
              <w:left w:val="single" w:sz="8" w:space="0" w:color="3A7ACB"/>
              <w:bottom w:val="single" w:sz="8" w:space="0" w:color="3A7ACB"/>
              <w:right w:val="single" w:sz="24" w:space="0" w:color="3A7ACB"/>
            </w:tcBorders>
            <w:vAlign w:val="bottom"/>
            <w:hideMark/>
          </w:tcPr>
          <w:p w14:paraId="4C772E3F" w14:textId="77777777" w:rsidR="00A33168" w:rsidRDefault="00A331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Loughborough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13360047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19B57205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-34%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60E3F591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2450AE05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4630B056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54E9A7C3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94%</w:t>
            </w:r>
          </w:p>
        </w:tc>
      </w:tr>
      <w:tr w:rsidR="00A33168" w14:paraId="145A46FA" w14:textId="77777777" w:rsidTr="00A33168">
        <w:tc>
          <w:tcPr>
            <w:tcW w:w="1668" w:type="dxa"/>
            <w:tcBorders>
              <w:top w:val="nil"/>
              <w:left w:val="single" w:sz="8" w:space="0" w:color="3A7ACB"/>
              <w:bottom w:val="single" w:sz="8" w:space="0" w:color="3A7ACB"/>
              <w:right w:val="single" w:sz="24" w:space="0" w:color="3A7ACB"/>
            </w:tcBorders>
            <w:vAlign w:val="bottom"/>
            <w:hideMark/>
          </w:tcPr>
          <w:p w14:paraId="7C39951F" w14:textId="77777777" w:rsidR="00A33168" w:rsidRDefault="00A331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Competitors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481AC69D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-8%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464254B8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-42%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79B8EEF5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46B41E38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06F835DF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7B375239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93%</w:t>
            </w:r>
          </w:p>
        </w:tc>
      </w:tr>
      <w:tr w:rsidR="00A33168" w14:paraId="4610797D" w14:textId="77777777" w:rsidTr="00A33168">
        <w:tc>
          <w:tcPr>
            <w:tcW w:w="1668" w:type="dxa"/>
            <w:tcBorders>
              <w:top w:val="nil"/>
              <w:left w:val="single" w:sz="8" w:space="0" w:color="3A7ACB"/>
              <w:bottom w:val="single" w:sz="8" w:space="0" w:color="3A7ACB"/>
              <w:right w:val="single" w:sz="24" w:space="0" w:color="3A7ACB"/>
            </w:tcBorders>
            <w:vAlign w:val="bottom"/>
            <w:hideMark/>
          </w:tcPr>
          <w:p w14:paraId="66619872" w14:textId="77777777" w:rsidR="00A33168" w:rsidRDefault="00A331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National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49222D06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3F261054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-23%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324D357E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A7ACB"/>
              <w:right w:val="single" w:sz="24" w:space="0" w:color="3A7ACB"/>
            </w:tcBorders>
            <w:vAlign w:val="center"/>
            <w:hideMark/>
          </w:tcPr>
          <w:p w14:paraId="5709E77B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3202492E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A7ACB"/>
              <w:right w:val="single" w:sz="8" w:space="0" w:color="3A7ACB"/>
            </w:tcBorders>
            <w:vAlign w:val="center"/>
            <w:hideMark/>
          </w:tcPr>
          <w:p w14:paraId="1CBE27FB" w14:textId="77777777" w:rsidR="00A33168" w:rsidRDefault="00A33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92%</w:t>
            </w:r>
          </w:p>
        </w:tc>
      </w:tr>
    </w:tbl>
    <w:p w14:paraId="011177D2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</w:rPr>
        <w:t> </w:t>
      </w:r>
    </w:p>
    <w:p w14:paraId="0DC19806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14:paraId="56F1E878" w14:textId="2419E5CA" w:rsidR="00A33168" w:rsidRDefault="006D0372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A33168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 xml:space="preserve">latest </w:t>
      </w:r>
      <w:r w:rsidR="00A33168">
        <w:rPr>
          <w:rFonts w:cs="Arial"/>
          <w:sz w:val="22"/>
          <w:szCs w:val="22"/>
        </w:rPr>
        <w:t xml:space="preserve">national/competitor data </w:t>
      </w:r>
      <w:r>
        <w:rPr>
          <w:rFonts w:cs="Arial"/>
          <w:sz w:val="22"/>
          <w:szCs w:val="22"/>
        </w:rPr>
        <w:t>demonstrates that we are well</w:t>
      </w:r>
      <w:r w:rsidR="00A33168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>laced. Whilst nationally</w:t>
      </w:r>
      <w:r w:rsidR="00A33168">
        <w:rPr>
          <w:rFonts w:cs="Arial"/>
          <w:sz w:val="22"/>
          <w:szCs w:val="22"/>
        </w:rPr>
        <w:t xml:space="preserve"> UFs have not seen as gr</w:t>
      </w:r>
      <w:r>
        <w:rPr>
          <w:rFonts w:cs="Arial"/>
          <w:sz w:val="22"/>
          <w:szCs w:val="22"/>
        </w:rPr>
        <w:t xml:space="preserve">eat a decline as </w:t>
      </w:r>
      <w:r w:rsidR="00A33168">
        <w:rPr>
          <w:rFonts w:cs="Arial"/>
          <w:sz w:val="22"/>
          <w:szCs w:val="22"/>
        </w:rPr>
        <w:t xml:space="preserve">at Loughborough, our competitors have been affected to a greater extent. </w:t>
      </w:r>
      <w:r>
        <w:rPr>
          <w:rFonts w:cs="Arial"/>
          <w:sz w:val="22"/>
          <w:szCs w:val="22"/>
        </w:rPr>
        <w:t xml:space="preserve"> </w:t>
      </w:r>
      <w:r w:rsidR="00A33168">
        <w:rPr>
          <w:rFonts w:cs="Arial"/>
          <w:sz w:val="22"/>
          <w:szCs w:val="22"/>
        </w:rPr>
        <w:t>Additionally, our CFs have seen an increase and our conversio</w:t>
      </w:r>
      <w:r w:rsidR="00D313D5">
        <w:rPr>
          <w:rFonts w:cs="Arial"/>
          <w:sz w:val="22"/>
          <w:szCs w:val="22"/>
        </w:rPr>
        <w:t>n rate has been maintained.  This evidence</w:t>
      </w:r>
      <w:r w:rsidR="00A3316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compares favourably </w:t>
      </w:r>
      <w:r w:rsidR="00A33168">
        <w:rPr>
          <w:rFonts w:cs="Arial"/>
          <w:sz w:val="22"/>
          <w:szCs w:val="22"/>
        </w:rPr>
        <w:t>with the d</w:t>
      </w:r>
      <w:r w:rsidR="00D313D5">
        <w:rPr>
          <w:rFonts w:cs="Arial"/>
          <w:sz w:val="22"/>
          <w:szCs w:val="22"/>
        </w:rPr>
        <w:t xml:space="preserve">eclines seen nationally and among </w:t>
      </w:r>
      <w:r w:rsidR="00A33168">
        <w:rPr>
          <w:rFonts w:cs="Arial"/>
          <w:sz w:val="22"/>
          <w:szCs w:val="22"/>
        </w:rPr>
        <w:t>competitors in both respects.</w:t>
      </w:r>
    </w:p>
    <w:p w14:paraId="19703453" w14:textId="777777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14:paraId="00942587" w14:textId="5293B3C3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PGT</w:t>
      </w:r>
      <w:r w:rsidR="0078586F">
        <w:rPr>
          <w:rFonts w:cs="Arial"/>
          <w:b/>
          <w:bCs/>
          <w:sz w:val="22"/>
          <w:szCs w:val="22"/>
        </w:rPr>
        <w:t xml:space="preserve"> students</w:t>
      </w:r>
    </w:p>
    <w:p w14:paraId="4E70698F" w14:textId="1007E077" w:rsidR="00A33168" w:rsidRDefault="00A33168" w:rsidP="00A3316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PGT admissions position </w:t>
      </w:r>
      <w:r w:rsidR="003F2D9F">
        <w:rPr>
          <w:rFonts w:cs="Arial"/>
          <w:sz w:val="22"/>
          <w:szCs w:val="22"/>
        </w:rPr>
        <w:t xml:space="preserve">is currently </w:t>
      </w:r>
      <w:r>
        <w:rPr>
          <w:rFonts w:cs="Arial"/>
          <w:sz w:val="22"/>
          <w:szCs w:val="22"/>
        </w:rPr>
        <w:t xml:space="preserve">relatively strong. </w:t>
      </w:r>
      <w:r w:rsidR="00323C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Despite a decrease i</w:t>
      </w:r>
      <w:r w:rsidR="00323C84">
        <w:rPr>
          <w:rFonts w:cs="Arial"/>
          <w:sz w:val="22"/>
          <w:szCs w:val="22"/>
        </w:rPr>
        <w:t xml:space="preserve">n applications and in </w:t>
      </w:r>
      <w:r>
        <w:rPr>
          <w:rFonts w:cs="Arial"/>
          <w:sz w:val="22"/>
          <w:szCs w:val="22"/>
        </w:rPr>
        <w:t>offers</w:t>
      </w:r>
      <w:r w:rsidR="00323C84">
        <w:rPr>
          <w:rFonts w:cs="Arial"/>
          <w:sz w:val="22"/>
          <w:szCs w:val="22"/>
        </w:rPr>
        <w:t xml:space="preserve"> made</w:t>
      </w:r>
      <w:r>
        <w:rPr>
          <w:rFonts w:cs="Arial"/>
          <w:sz w:val="22"/>
          <w:szCs w:val="22"/>
        </w:rPr>
        <w:t xml:space="preserve">, </w:t>
      </w:r>
      <w:r w:rsidR="00323C84">
        <w:rPr>
          <w:rFonts w:cs="Arial"/>
          <w:sz w:val="22"/>
          <w:szCs w:val="22"/>
        </w:rPr>
        <w:t>there is</w:t>
      </w:r>
      <w:r>
        <w:rPr>
          <w:rFonts w:cs="Arial"/>
          <w:sz w:val="22"/>
          <w:szCs w:val="22"/>
        </w:rPr>
        <w:t xml:space="preserve"> a notable increase in the number of o</w:t>
      </w:r>
      <w:r w:rsidR="00323C84">
        <w:rPr>
          <w:rFonts w:cs="Arial"/>
          <w:sz w:val="22"/>
          <w:szCs w:val="22"/>
        </w:rPr>
        <w:t>ffers accepted by applicants</w:t>
      </w:r>
      <w:r>
        <w:rPr>
          <w:rFonts w:cs="Arial"/>
          <w:sz w:val="22"/>
          <w:szCs w:val="22"/>
        </w:rPr>
        <w:t xml:space="preserve"> (UK/EU and int</w:t>
      </w:r>
      <w:r w:rsidR="00323C84">
        <w:rPr>
          <w:rFonts w:cs="Arial"/>
          <w:sz w:val="22"/>
          <w:szCs w:val="22"/>
        </w:rPr>
        <w:t>ernational</w:t>
      </w:r>
      <w:r w:rsidR="00BE37B3">
        <w:rPr>
          <w:rFonts w:cs="Arial"/>
          <w:sz w:val="22"/>
          <w:szCs w:val="22"/>
        </w:rPr>
        <w:t>), which we believe is</w:t>
      </w:r>
      <w:r>
        <w:rPr>
          <w:rFonts w:cs="Arial"/>
          <w:sz w:val="22"/>
          <w:szCs w:val="22"/>
        </w:rPr>
        <w:t xml:space="preserve"> a result o</w:t>
      </w:r>
      <w:r w:rsidR="00337682">
        <w:rPr>
          <w:rFonts w:cs="Arial"/>
          <w:sz w:val="22"/>
          <w:szCs w:val="22"/>
        </w:rPr>
        <w:t>f</w:t>
      </w:r>
      <w:r w:rsidR="00BE37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faster </w:t>
      </w:r>
      <w:r w:rsidR="00BE37B3">
        <w:rPr>
          <w:rFonts w:cs="Arial"/>
          <w:sz w:val="22"/>
          <w:szCs w:val="22"/>
        </w:rPr>
        <w:t>and more efficient processing</w:t>
      </w:r>
      <w:r>
        <w:rPr>
          <w:rFonts w:cs="Arial"/>
          <w:sz w:val="22"/>
          <w:szCs w:val="22"/>
        </w:rPr>
        <w:t>.</w:t>
      </w:r>
      <w:r w:rsidR="003F2D9F">
        <w:rPr>
          <w:rFonts w:cs="Arial"/>
          <w:sz w:val="22"/>
          <w:szCs w:val="22"/>
        </w:rPr>
        <w:t xml:space="preserve">  On the basis of existing evidence the international intake target may be exceeded, which would help to counterbalance any slig</w:t>
      </w:r>
      <w:r w:rsidR="0045687F">
        <w:rPr>
          <w:rFonts w:cs="Arial"/>
          <w:sz w:val="22"/>
          <w:szCs w:val="22"/>
        </w:rPr>
        <w:t>ht shortfall in the UK/EU numbers</w:t>
      </w:r>
      <w:r w:rsidR="003F2D9F">
        <w:rPr>
          <w:rFonts w:cs="Arial"/>
          <w:sz w:val="22"/>
          <w:szCs w:val="22"/>
        </w:rPr>
        <w:t xml:space="preserve">.  </w:t>
      </w:r>
    </w:p>
    <w:p w14:paraId="0B30EFBA" w14:textId="77777777" w:rsidR="005E7604" w:rsidRDefault="005E7604" w:rsidP="00767EAC">
      <w:pPr>
        <w:ind w:right="-64"/>
        <w:rPr>
          <w:rFonts w:cs="Arial"/>
          <w:b/>
        </w:rPr>
      </w:pPr>
    </w:p>
    <w:p w14:paraId="6F69588E" w14:textId="77777777" w:rsidR="005E7604" w:rsidRDefault="005E7604" w:rsidP="00767EAC">
      <w:pPr>
        <w:ind w:right="-64"/>
        <w:rPr>
          <w:rFonts w:cs="Arial"/>
          <w:b/>
        </w:rPr>
      </w:pPr>
    </w:p>
    <w:p w14:paraId="264A5ACC" w14:textId="77777777" w:rsidR="005E7604" w:rsidRPr="00E70501" w:rsidRDefault="005E7604" w:rsidP="00767EAC">
      <w:pPr>
        <w:ind w:right="-64"/>
        <w:rPr>
          <w:sz w:val="22"/>
          <w:szCs w:val="22"/>
        </w:rPr>
      </w:pPr>
    </w:p>
    <w:p w14:paraId="35A2FE02" w14:textId="77777777" w:rsidR="00767EAC" w:rsidRDefault="00767EAC" w:rsidP="00767EAC">
      <w:pPr>
        <w:tabs>
          <w:tab w:val="left" w:pos="1170"/>
          <w:tab w:val="left" w:pos="8910"/>
        </w:tabs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ab/>
      </w:r>
      <w:r>
        <w:rPr>
          <w:rFonts w:cs="Arial"/>
          <w:b/>
          <w:sz w:val="28"/>
          <w:u w:val="single"/>
        </w:rPr>
        <w:tab/>
      </w:r>
    </w:p>
    <w:p w14:paraId="48F765D2" w14:textId="49A51106" w:rsidR="00767EAC" w:rsidRPr="00815FB3" w:rsidRDefault="003F2D9F" w:rsidP="00450FBE">
      <w:pPr>
        <w:pStyle w:val="BodyText"/>
      </w:pPr>
      <w:r>
        <w:t>Date – June</w:t>
      </w:r>
      <w:r w:rsidR="00767EAC">
        <w:t xml:space="preserve"> 2012</w:t>
      </w:r>
      <w:r w:rsidR="00767EAC">
        <w:br/>
        <w:t>Copyright (c) Loughborough University.  All rights reserved.</w:t>
      </w:r>
      <w:r w:rsidR="00767EAC">
        <w:rPr>
          <w:sz w:val="22"/>
          <w:szCs w:val="22"/>
        </w:rPr>
        <w:br w:type="page"/>
      </w:r>
    </w:p>
    <w:sectPr w:rsidR="00767EAC" w:rsidRPr="00815FB3" w:rsidSect="009B5918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38370" w14:textId="77777777" w:rsidR="006D0372" w:rsidRDefault="006D0372" w:rsidP="0098095F">
      <w:r>
        <w:separator/>
      </w:r>
    </w:p>
  </w:endnote>
  <w:endnote w:type="continuationSeparator" w:id="0">
    <w:p w14:paraId="5A718DED" w14:textId="77777777" w:rsidR="006D0372" w:rsidRDefault="006D0372" w:rsidP="009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33E7" w14:textId="77777777" w:rsidR="006D0372" w:rsidRDefault="006D0372" w:rsidP="0098095F">
      <w:r>
        <w:separator/>
      </w:r>
    </w:p>
  </w:footnote>
  <w:footnote w:type="continuationSeparator" w:id="0">
    <w:p w14:paraId="33357C51" w14:textId="77777777" w:rsidR="006D0372" w:rsidRDefault="006D0372" w:rsidP="0098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6209" w14:textId="259ACFA2" w:rsidR="009B5918" w:rsidRDefault="009B5918" w:rsidP="009B5918">
    <w:pPr>
      <w:pStyle w:val="Header"/>
      <w:jc w:val="right"/>
    </w:pPr>
    <w:r>
      <w:t>SEN12-P</w:t>
    </w:r>
    <w:r w:rsidR="00450FBE">
      <w:t>56</w:t>
    </w:r>
  </w:p>
  <w:p w14:paraId="51B1D561" w14:textId="76B4A5FC" w:rsidR="009B5918" w:rsidRDefault="009B5918" w:rsidP="009B5918">
    <w:pPr>
      <w:pStyle w:val="Header"/>
      <w:jc w:val="right"/>
    </w:pPr>
    <w:r>
      <w:t>4 July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596"/>
    <w:multiLevelType w:val="hybridMultilevel"/>
    <w:tmpl w:val="7A04672E"/>
    <w:lvl w:ilvl="0" w:tplc="4D8EA800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4C38B5"/>
    <w:multiLevelType w:val="hybridMultilevel"/>
    <w:tmpl w:val="6462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95E"/>
    <w:multiLevelType w:val="hybridMultilevel"/>
    <w:tmpl w:val="8F82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2740"/>
    <w:multiLevelType w:val="hybridMultilevel"/>
    <w:tmpl w:val="1ADA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8C"/>
    <w:rsid w:val="0005500A"/>
    <w:rsid w:val="000833BA"/>
    <w:rsid w:val="0009443D"/>
    <w:rsid w:val="000E7A17"/>
    <w:rsid w:val="00154E9C"/>
    <w:rsid w:val="001564CE"/>
    <w:rsid w:val="00157F26"/>
    <w:rsid w:val="0017246F"/>
    <w:rsid w:val="00176713"/>
    <w:rsid w:val="00182529"/>
    <w:rsid w:val="00184F04"/>
    <w:rsid w:val="001D0432"/>
    <w:rsid w:val="001D50C7"/>
    <w:rsid w:val="001D77C3"/>
    <w:rsid w:val="001E2476"/>
    <w:rsid w:val="001E6FA2"/>
    <w:rsid w:val="00205AF1"/>
    <w:rsid w:val="00207730"/>
    <w:rsid w:val="00272805"/>
    <w:rsid w:val="00281D8D"/>
    <w:rsid w:val="00282248"/>
    <w:rsid w:val="002D4AB5"/>
    <w:rsid w:val="002D4C9A"/>
    <w:rsid w:val="002F16B4"/>
    <w:rsid w:val="003054CC"/>
    <w:rsid w:val="00307002"/>
    <w:rsid w:val="00323C84"/>
    <w:rsid w:val="003331D6"/>
    <w:rsid w:val="00334ACF"/>
    <w:rsid w:val="00337682"/>
    <w:rsid w:val="00337683"/>
    <w:rsid w:val="00366AD9"/>
    <w:rsid w:val="003746D6"/>
    <w:rsid w:val="003844EB"/>
    <w:rsid w:val="00386C30"/>
    <w:rsid w:val="00394602"/>
    <w:rsid w:val="003B066F"/>
    <w:rsid w:val="003C1FE0"/>
    <w:rsid w:val="003F0434"/>
    <w:rsid w:val="003F14CC"/>
    <w:rsid w:val="003F2273"/>
    <w:rsid w:val="003F2D9F"/>
    <w:rsid w:val="00401610"/>
    <w:rsid w:val="0041088A"/>
    <w:rsid w:val="00424A82"/>
    <w:rsid w:val="00434BA2"/>
    <w:rsid w:val="0044378C"/>
    <w:rsid w:val="00444651"/>
    <w:rsid w:val="004466C8"/>
    <w:rsid w:val="00450FBE"/>
    <w:rsid w:val="00455736"/>
    <w:rsid w:val="0045687F"/>
    <w:rsid w:val="00472B78"/>
    <w:rsid w:val="00490137"/>
    <w:rsid w:val="00493E79"/>
    <w:rsid w:val="00494A19"/>
    <w:rsid w:val="004A445D"/>
    <w:rsid w:val="004A796A"/>
    <w:rsid w:val="004B29BD"/>
    <w:rsid w:val="004C3A43"/>
    <w:rsid w:val="004C3E93"/>
    <w:rsid w:val="004E2F2B"/>
    <w:rsid w:val="004E4049"/>
    <w:rsid w:val="0052199A"/>
    <w:rsid w:val="00536D78"/>
    <w:rsid w:val="00545B34"/>
    <w:rsid w:val="005460E5"/>
    <w:rsid w:val="0056678D"/>
    <w:rsid w:val="00583F5E"/>
    <w:rsid w:val="00592909"/>
    <w:rsid w:val="005B4778"/>
    <w:rsid w:val="005C011D"/>
    <w:rsid w:val="005C17B0"/>
    <w:rsid w:val="005C3831"/>
    <w:rsid w:val="005C4908"/>
    <w:rsid w:val="005E752C"/>
    <w:rsid w:val="005E7604"/>
    <w:rsid w:val="006145AE"/>
    <w:rsid w:val="00627463"/>
    <w:rsid w:val="0064036E"/>
    <w:rsid w:val="00647F33"/>
    <w:rsid w:val="00671DC7"/>
    <w:rsid w:val="00684322"/>
    <w:rsid w:val="006949C5"/>
    <w:rsid w:val="006D031A"/>
    <w:rsid w:val="006D0372"/>
    <w:rsid w:val="006F2D2F"/>
    <w:rsid w:val="006F6CE3"/>
    <w:rsid w:val="00716373"/>
    <w:rsid w:val="00767EAC"/>
    <w:rsid w:val="00770546"/>
    <w:rsid w:val="0078586F"/>
    <w:rsid w:val="00786F2A"/>
    <w:rsid w:val="007A070E"/>
    <w:rsid w:val="007A2297"/>
    <w:rsid w:val="007A300C"/>
    <w:rsid w:val="007A58F4"/>
    <w:rsid w:val="007A7C73"/>
    <w:rsid w:val="007B2D50"/>
    <w:rsid w:val="007D6F83"/>
    <w:rsid w:val="007E2728"/>
    <w:rsid w:val="00800C1A"/>
    <w:rsid w:val="008048C7"/>
    <w:rsid w:val="00806964"/>
    <w:rsid w:val="00830F81"/>
    <w:rsid w:val="0083560A"/>
    <w:rsid w:val="008370E4"/>
    <w:rsid w:val="00894479"/>
    <w:rsid w:val="008B4C1C"/>
    <w:rsid w:val="008C1A56"/>
    <w:rsid w:val="008E4EF5"/>
    <w:rsid w:val="00901AD9"/>
    <w:rsid w:val="0093450D"/>
    <w:rsid w:val="00955004"/>
    <w:rsid w:val="0098095F"/>
    <w:rsid w:val="00983477"/>
    <w:rsid w:val="009A160B"/>
    <w:rsid w:val="009A3BD9"/>
    <w:rsid w:val="009B3906"/>
    <w:rsid w:val="009B561B"/>
    <w:rsid w:val="009B5918"/>
    <w:rsid w:val="009C14A1"/>
    <w:rsid w:val="009E040E"/>
    <w:rsid w:val="009E66BE"/>
    <w:rsid w:val="00A22B6A"/>
    <w:rsid w:val="00A33168"/>
    <w:rsid w:val="00A53FD3"/>
    <w:rsid w:val="00A75FF6"/>
    <w:rsid w:val="00A801BF"/>
    <w:rsid w:val="00A820AE"/>
    <w:rsid w:val="00A84B58"/>
    <w:rsid w:val="00A96B5D"/>
    <w:rsid w:val="00AA1BF3"/>
    <w:rsid w:val="00AA29D6"/>
    <w:rsid w:val="00AA3474"/>
    <w:rsid w:val="00AA63AA"/>
    <w:rsid w:val="00AB115F"/>
    <w:rsid w:val="00AC0E2A"/>
    <w:rsid w:val="00AD350C"/>
    <w:rsid w:val="00B05B9C"/>
    <w:rsid w:val="00B067C8"/>
    <w:rsid w:val="00B55385"/>
    <w:rsid w:val="00B72950"/>
    <w:rsid w:val="00B77A5E"/>
    <w:rsid w:val="00B85FFF"/>
    <w:rsid w:val="00BB3869"/>
    <w:rsid w:val="00BC5786"/>
    <w:rsid w:val="00BD06AE"/>
    <w:rsid w:val="00BD1D7F"/>
    <w:rsid w:val="00BE37B3"/>
    <w:rsid w:val="00BE6BC6"/>
    <w:rsid w:val="00C22C64"/>
    <w:rsid w:val="00C2448A"/>
    <w:rsid w:val="00C4255B"/>
    <w:rsid w:val="00C717D9"/>
    <w:rsid w:val="00C83F19"/>
    <w:rsid w:val="00C87ABF"/>
    <w:rsid w:val="00CB3316"/>
    <w:rsid w:val="00CB7BDF"/>
    <w:rsid w:val="00CF065E"/>
    <w:rsid w:val="00D04522"/>
    <w:rsid w:val="00D07CC2"/>
    <w:rsid w:val="00D13BA1"/>
    <w:rsid w:val="00D17B94"/>
    <w:rsid w:val="00D22ACF"/>
    <w:rsid w:val="00D26260"/>
    <w:rsid w:val="00D2661C"/>
    <w:rsid w:val="00D313D5"/>
    <w:rsid w:val="00D3348B"/>
    <w:rsid w:val="00D80A03"/>
    <w:rsid w:val="00DB26F2"/>
    <w:rsid w:val="00DC2104"/>
    <w:rsid w:val="00DF54A1"/>
    <w:rsid w:val="00DF7077"/>
    <w:rsid w:val="00E11A4D"/>
    <w:rsid w:val="00E21BFC"/>
    <w:rsid w:val="00E5450C"/>
    <w:rsid w:val="00E730C2"/>
    <w:rsid w:val="00E81439"/>
    <w:rsid w:val="00E90743"/>
    <w:rsid w:val="00EB132C"/>
    <w:rsid w:val="00EB2992"/>
    <w:rsid w:val="00EB4BA4"/>
    <w:rsid w:val="00ED2C4C"/>
    <w:rsid w:val="00EE3DC3"/>
    <w:rsid w:val="00F1171F"/>
    <w:rsid w:val="00F42B59"/>
    <w:rsid w:val="00F46673"/>
    <w:rsid w:val="00F601B3"/>
    <w:rsid w:val="00F605ED"/>
    <w:rsid w:val="00F6626E"/>
    <w:rsid w:val="00F82373"/>
    <w:rsid w:val="00F97251"/>
    <w:rsid w:val="00FD522D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1E5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BA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095F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80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095F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095F"/>
    <w:pPr>
      <w:ind w:left="720"/>
      <w:contextualSpacing/>
    </w:pPr>
  </w:style>
  <w:style w:type="table" w:styleId="TableGrid">
    <w:name w:val="Table Grid"/>
    <w:basedOn w:val="TableNormal"/>
    <w:rsid w:val="003F14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Normal"/>
    <w:next w:val="Normal"/>
    <w:rsid w:val="003F14CC"/>
    <w:pPr>
      <w:keepNext/>
      <w:widowControl w:val="0"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rsid w:val="003F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CC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EAC"/>
    <w:pPr>
      <w:widowControl w:val="0"/>
      <w:tabs>
        <w:tab w:val="left" w:pos="720"/>
        <w:tab w:val="left" w:pos="5760"/>
        <w:tab w:val="left" w:pos="8910"/>
      </w:tabs>
      <w:spacing w:before="100" w:after="100"/>
    </w:pPr>
    <w:rPr>
      <w:rFonts w:eastAsia="Times New Roman" w:cs="Arial"/>
      <w:snapToGrid w:val="0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7EAC"/>
    <w:rPr>
      <w:rFonts w:ascii="Arial" w:eastAsia="Times New Roman" w:hAnsi="Arial" w:cs="Arial"/>
      <w:snapToGrid w:val="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BA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095F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80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095F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095F"/>
    <w:pPr>
      <w:ind w:left="720"/>
      <w:contextualSpacing/>
    </w:pPr>
  </w:style>
  <w:style w:type="table" w:styleId="TableGrid">
    <w:name w:val="Table Grid"/>
    <w:basedOn w:val="TableNormal"/>
    <w:rsid w:val="003F14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Normal"/>
    <w:next w:val="Normal"/>
    <w:rsid w:val="003F14CC"/>
    <w:pPr>
      <w:keepNext/>
      <w:widowControl w:val="0"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rsid w:val="003F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CC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EAC"/>
    <w:pPr>
      <w:widowControl w:val="0"/>
      <w:tabs>
        <w:tab w:val="left" w:pos="720"/>
        <w:tab w:val="left" w:pos="5760"/>
        <w:tab w:val="left" w:pos="8910"/>
      </w:tabs>
      <w:spacing w:before="100" w:after="100"/>
    </w:pPr>
    <w:rPr>
      <w:rFonts w:eastAsia="Times New Roman" w:cs="Arial"/>
      <w:snapToGrid w:val="0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7EAC"/>
    <w:rPr>
      <w:rFonts w:ascii="Arial" w:eastAsia="Times New Roman" w:hAnsi="Arial" w:cs="Arial"/>
      <w:snapToGrid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cp:lastPrinted>2012-06-19T07:31:00Z</cp:lastPrinted>
  <dcterms:created xsi:type="dcterms:W3CDTF">2012-06-26T15:38:00Z</dcterms:created>
  <dcterms:modified xsi:type="dcterms:W3CDTF">2012-06-26T15:38:00Z</dcterms:modified>
</cp:coreProperties>
</file>